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E65E">
      <w:pPr>
        <w:keepNext w:val="0"/>
        <w:keepLines w:val="0"/>
        <w:pageBreakBefore w:val="0"/>
        <w:kinsoku/>
        <w:wordWrap/>
        <w:overflowPunct/>
        <w:topLinePunct w:val="0"/>
        <w:autoSpaceDE/>
        <w:autoSpaceDN/>
        <w:bidi w:val="0"/>
        <w:adjustRightInd/>
        <w:snapToGrid/>
        <w:spacing w:beforeAutospacing="0" w:afterAutospacing="0" w:line="594" w:lineRule="atLeast"/>
        <w:ind w:left="0" w:leftChars="0" w:firstLine="0" w:firstLineChars="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 xml:space="preserve">2  </w:t>
      </w:r>
    </w:p>
    <w:p w14:paraId="7C0C3D03">
      <w:pPr>
        <w:pStyle w:val="4"/>
        <w:ind w:left="0" w:leftChars="0" w:firstLine="0" w:firstLineChars="0"/>
        <w:jc w:val="center"/>
        <w:rPr>
          <w:rFonts w:hint="default" w:eastAsia="方正小标宋_GBK" w:cs="Times New Roman"/>
          <w:b w:val="0"/>
          <w:bCs w:val="0"/>
          <w:sz w:val="44"/>
          <w:szCs w:val="44"/>
          <w:lang w:val="en-US" w:eastAsia="zh-CN"/>
        </w:rPr>
      </w:pPr>
      <w:bookmarkStart w:id="2" w:name="_GoBack"/>
      <w:r>
        <w:rPr>
          <w:rFonts w:hint="eastAsia" w:eastAsia="方正小标宋_GBK" w:cs="Times New Roman"/>
          <w:b w:val="0"/>
          <w:bCs w:val="0"/>
          <w:sz w:val="44"/>
          <w:szCs w:val="44"/>
          <w:lang w:val="en-US" w:eastAsia="zh-CN"/>
        </w:rPr>
        <w:t>拟考察的</w:t>
      </w:r>
      <w:r>
        <w:rPr>
          <w:rFonts w:hint="default" w:ascii="Times New Roman" w:hAnsi="Times New Roman" w:eastAsia="方正小标宋_GBK" w:cs="Times New Roman"/>
          <w:b w:val="0"/>
          <w:bCs w:val="0"/>
          <w:sz w:val="44"/>
          <w:szCs w:val="44"/>
          <w:lang w:val="en-US" w:eastAsia="zh-CN"/>
        </w:rPr>
        <w:t>匈牙利</w:t>
      </w:r>
      <w:r>
        <w:rPr>
          <w:rFonts w:hint="eastAsia" w:eastAsia="方正小标宋_GBK" w:cs="Times New Roman"/>
          <w:b w:val="0"/>
          <w:bCs w:val="0"/>
          <w:sz w:val="44"/>
          <w:szCs w:val="44"/>
          <w:lang w:val="en-US" w:eastAsia="zh-CN"/>
        </w:rPr>
        <w:t>机构简介</w:t>
      </w:r>
    </w:p>
    <w:bookmarkEnd w:id="2"/>
    <w:p w14:paraId="6EE48F3E">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pPr>
      <w:r>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t>一、匈牙利投资促进局</w:t>
      </w:r>
    </w:p>
    <w:p w14:paraId="1BC7D6E6">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Style w:val="7"/>
          <w:rFonts w:hint="eastAsia" w:ascii="Times New Roman" w:hAnsi="Times New Roman" w:eastAsia="方正仿宋_GBK" w:cs="Times New Roman"/>
          <w:b w:val="0"/>
          <w:bCs w:val="0"/>
          <w:i w:val="0"/>
          <w:iCs w:val="0"/>
          <w:caps w:val="0"/>
          <w:color w:val="auto"/>
          <w:spacing w:val="0"/>
          <w:sz w:val="32"/>
          <w:szCs w:val="24"/>
          <w:shd w:val="clear" w:fill="FFFFFF"/>
          <w:lang w:val="en-US" w:eastAsia="zh-CN"/>
        </w:rPr>
      </w:pPr>
      <w:r>
        <w:rPr>
          <w:rFonts w:hint="default" w:ascii="Times New Roman" w:hAnsi="Times New Roman" w:eastAsia="方正仿宋_GBK" w:cs="Times New Roman"/>
          <w:sz w:val="32"/>
          <w:szCs w:val="32"/>
          <w:lang w:val="en-US" w:eastAsia="zh-CN"/>
        </w:rPr>
        <w:t>匈牙利投资促进局（HIPA）旨在通过一站式服务模式，为企业投资提供最快、最专业的帮助。除了提供量身定制的财政激励措施外，投资促进局还为企业寻找最理想的投资地点，收集决策所需的劳动力和税收相关信息，参与促进必要的公共事业发展，对接联络政府和企业。</w:t>
      </w:r>
    </w:p>
    <w:p w14:paraId="0C1D115F">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pPr>
      <w:r>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t>二、匈牙利</w:t>
      </w:r>
      <w:bookmarkStart w:id="0" w:name="OLE_LINK1"/>
      <w:r>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t>汽车零部件制造商协会</w:t>
      </w:r>
      <w:bookmarkEnd w:id="0"/>
    </w:p>
    <w:p w14:paraId="2F3D2B58">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匈牙利汽车零部件制造商协会（MAJOSZ）成立于1993年4月，</w:t>
      </w:r>
      <w:r>
        <w:rPr>
          <w:rFonts w:hint="eastAsia" w:ascii="Times New Roman" w:hAnsi="Times New Roman" w:eastAsia="方正仿宋_GBK" w:cs="Times New Roman"/>
          <w:sz w:val="32"/>
          <w:szCs w:val="32"/>
          <w:lang w:val="en-US" w:eastAsia="zh-CN"/>
        </w:rPr>
        <w:t>现有约300个</w:t>
      </w:r>
      <w:r>
        <w:rPr>
          <w:rFonts w:hint="default" w:ascii="Times New Roman" w:hAnsi="Times New Roman" w:eastAsia="方正仿宋_GBK" w:cs="Times New Roman"/>
          <w:sz w:val="32"/>
          <w:szCs w:val="32"/>
          <w:lang w:val="en-US" w:eastAsia="zh-CN"/>
        </w:rPr>
        <w:t>成员，代表了匈牙利大多数的汽车零部件制造商。该协会努力在技术开发，商业和金融领域为会员提供支持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增强</w:t>
      </w:r>
      <w:r>
        <w:rPr>
          <w:rFonts w:hint="eastAsia"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en-US" w:eastAsia="zh-CN"/>
        </w:rPr>
        <w:t>竞争力，发展业务关系和扩大市场。此外，MAJOSZ还与来自世界各地的大约60个汽车组织有合作或信息联系。</w:t>
      </w:r>
    </w:p>
    <w:p w14:paraId="62314F9E">
      <w:pPr>
        <w:numPr>
          <w:ilvl w:val="0"/>
          <w:numId w:val="0"/>
        </w:numPr>
        <w:ind w:firstLine="640" w:firstLineChars="200"/>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pPr>
      <w:r>
        <w:rPr>
          <w:rStyle w:val="7"/>
          <w:rFonts w:hint="eastAsia" w:ascii="方正黑体_GBK" w:hAnsi="方正黑体_GBK" w:eastAsia="方正黑体_GBK" w:cs="方正黑体_GBK"/>
          <w:b w:val="0"/>
          <w:bCs w:val="0"/>
          <w:i w:val="0"/>
          <w:iCs w:val="0"/>
          <w:caps w:val="0"/>
          <w:color w:val="auto"/>
          <w:spacing w:val="0"/>
          <w:sz w:val="32"/>
          <w:szCs w:val="24"/>
          <w:shd w:val="clear" w:fill="FFFFFF"/>
          <w:lang w:val="en-US" w:eastAsia="zh-CN"/>
        </w:rPr>
        <w:t>三、宝依·佐尔坦应用研究非营利有限公司</w:t>
      </w:r>
    </w:p>
    <w:p w14:paraId="5D38B2F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Style w:val="7"/>
          <w:rFonts w:hint="default" w:eastAsia="方正仿宋_GBK" w:cs="Times New Roman"/>
          <w:b w:val="0"/>
          <w:bCs w:val="0"/>
          <w:i w:val="0"/>
          <w:iCs w:val="0"/>
          <w:caps w:val="0"/>
          <w:color w:val="auto"/>
          <w:spacing w:val="0"/>
          <w:sz w:val="32"/>
          <w:szCs w:val="24"/>
          <w:shd w:val="clear" w:fill="FFFFFF"/>
          <w:lang w:val="en-US" w:eastAsia="zh-CN"/>
        </w:rPr>
      </w:pPr>
      <w:r>
        <w:rPr>
          <w:rStyle w:val="7"/>
          <w:rFonts w:hint="eastAsia" w:eastAsia="方正仿宋_GBK" w:cs="Times New Roman"/>
          <w:b w:val="0"/>
          <w:bCs w:val="0"/>
          <w:i w:val="0"/>
          <w:iCs w:val="0"/>
          <w:caps w:val="0"/>
          <w:color w:val="auto"/>
          <w:spacing w:val="0"/>
          <w:sz w:val="32"/>
          <w:szCs w:val="24"/>
          <w:shd w:val="clear" w:fill="FFFFFF"/>
          <w:lang w:val="en-US" w:eastAsia="zh-CN"/>
        </w:rPr>
        <w:t>宝依公司是一家隶属于匈牙利文化创新部的非营利性应用研究机构，主要从事工业生物技术、材料和机械工程等方面的研究。作为匈牙利领先的应用研究机构，宝依公司不仅提供研发服务，还努力通过技术转移提高匈牙利和国际中小企业中小企业的竞争力。宝依公司还参与匈牙利创新政策的制定，是匈牙利国家研发创新办公室的政策顾问之一，在匈牙利和欧洲创新体系中发挥着积极作用，并与 150 个国际合作伙伴开展合作。中国—匈牙利技术转移中心（重庆）布达佩斯办公室也设在该公司。</w:t>
      </w:r>
    </w:p>
    <w:p w14:paraId="02768BB7">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sz w:val="32"/>
          <w:szCs w:val="32"/>
          <w:lang w:val="en-US" w:eastAsia="zh-CN"/>
        </w:rPr>
        <w:t> 塞切尼·伊斯特万大学</w:t>
      </w:r>
    </w:p>
    <w:p w14:paraId="568FE228">
      <w:pPr>
        <w:spacing w:line="240" w:lineRule="auto"/>
        <w:ind w:left="0" w:leftChars="0"/>
        <w:rPr>
          <w:rFonts w:ascii="Calibri" w:hAnsi="Calibri" w:eastAsia="宋体"/>
          <w:sz w:val="21"/>
          <w:szCs w:val="22"/>
        </w:rPr>
      </w:pPr>
      <w:r>
        <w:rPr>
          <w:rFonts w:hint="eastAsia" w:ascii="Times New Roman" w:hAnsi="Times New Roman" w:eastAsia="方正仿宋_GBK" w:cs="Times New Roman"/>
          <w:sz w:val="32"/>
          <w:szCs w:val="32"/>
          <w:lang w:val="en-US" w:eastAsia="zh-CN"/>
        </w:rPr>
        <w:t>    塞切尼·伊斯特万大学（Széchenyi István）成立于1986年，在校人数13000人，主要院系有：奥迪汽车工程学院、信息工程学院、建筑与交通运输科学院、农业与食品科学院等。该大学</w:t>
      </w:r>
      <w:r>
        <w:rPr>
          <w:rFonts w:hint="eastAsia" w:eastAsia="方正仿宋_GBK" w:cs="Times New Roman"/>
          <w:sz w:val="32"/>
          <w:szCs w:val="32"/>
          <w:lang w:val="en-US" w:eastAsia="zh-CN"/>
        </w:rPr>
        <w:t>所在地——</w:t>
      </w:r>
      <w:r>
        <w:rPr>
          <w:rFonts w:hint="eastAsia" w:ascii="Times New Roman" w:hAnsi="Times New Roman" w:eastAsia="方正仿宋_GBK" w:cs="Times New Roman"/>
          <w:sz w:val="32"/>
          <w:szCs w:val="32"/>
          <w:lang w:val="en-US" w:eastAsia="zh-CN"/>
        </w:rPr>
        <w:t>杰尔市是一个非常重要的汽车中心，汇聚了世界上最大的发动机工厂Audi Hungaria Motor Kft和数百家汽车供应商。该大学与德国奥迪共同创办了“奥迪匈牙利汽车工程学院”，拥有匈牙利最先进的汽车工程实验室和具备实践操作经验的汽车工程专家。</w:t>
      </w:r>
    </w:p>
    <w:p w14:paraId="4FCB5205">
      <w:pPr>
        <w:pStyle w:val="2"/>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匈牙利宜康工程设计公司</w:t>
      </w:r>
    </w:p>
    <w:p w14:paraId="53EFB360">
      <w:pPr>
        <w:pStyle w:val="3"/>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该</w:t>
      </w:r>
      <w:r>
        <w:rPr>
          <w:rFonts w:hint="default" w:ascii="Times New Roman" w:hAnsi="Times New Roman" w:eastAsia="方正仿宋_GBK" w:cs="Times New Roman"/>
          <w:sz w:val="32"/>
          <w:szCs w:val="32"/>
        </w:rPr>
        <w:t>公司成立于2002年，是一家提供工程咨询、工程合作、研发创新及高附加值支持的独立工程咨询公司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专业</w:t>
      </w:r>
      <w:r>
        <w:rPr>
          <w:rFonts w:hint="default" w:ascii="Times New Roman" w:hAnsi="Times New Roman" w:eastAsia="方正仿宋_GBK" w:cs="Times New Roman"/>
          <w:sz w:val="32"/>
          <w:szCs w:val="32"/>
          <w:lang w:eastAsia="zh-CN"/>
        </w:rPr>
        <w:t>从事CAE计算机辅助工程服务和专用机器设计，</w:t>
      </w:r>
      <w:r>
        <w:rPr>
          <w:rFonts w:hint="default" w:ascii="Times New Roman" w:hAnsi="Times New Roman" w:eastAsia="方正仿宋_GBK" w:cs="Times New Roman"/>
          <w:sz w:val="32"/>
          <w:szCs w:val="32"/>
        </w:rPr>
        <w:t>涉及领域包括汽车、飞机、复合材料、建造、医疗健康、能源产业、农业等。</w:t>
      </w:r>
    </w:p>
    <w:p w14:paraId="40F4AA5F">
      <w:pPr>
        <w:numPr>
          <w:ilvl w:val="0"/>
          <w:numId w:val="1"/>
        </w:numPr>
        <w:ind w:left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波鸿集团</w:t>
      </w:r>
      <w:bookmarkStart w:id="1" w:name="OLE_LINK2"/>
      <w:r>
        <w:rPr>
          <w:rFonts w:hint="eastAsia" w:ascii="方正黑体_GBK" w:hAnsi="方正黑体_GBK" w:eastAsia="方正黑体_GBK" w:cs="方正黑体_GBK"/>
          <w:sz w:val="32"/>
          <w:szCs w:val="32"/>
          <w:lang w:val="en-US" w:eastAsia="zh-CN"/>
        </w:rPr>
        <w:t>威斯卡特匈牙利工厂</w:t>
      </w:r>
      <w:bookmarkEnd w:id="1"/>
    </w:p>
    <w:p w14:paraId="65738E55">
      <w:pPr>
        <w:numPr>
          <w:numId w:val="0"/>
        </w:num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波鸿集团是一家以制造业为龙头、以汽车销售服务为支柱、以产业投资为补充的国际化企业集团，直接或间接提供上百种关键汽车零部件。2012年通过收购加拿大拥有110余年经营历史的威斯卡特工业集团进入匈牙利市场。威斯卡特匈牙利工厂位于匈牙利西南部的欧罗斯拉尼市，主要研发和生产汽车发动机排气歧管、涡轮增压器壳体以及联体涡轮歧管等关键零部件，是全球最大的汽车排气管及涡轮增压器壳体生产供应商，为奥迪等国际知名汽车制造厂家提供配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40"/>
      </w:pPr>
      <w:r>
        <w:separator/>
      </w:r>
    </w:p>
  </w:endnote>
  <w:endnote w:type="continuationSeparator" w:id="1">
    <w:p>
      <w:pPr>
        <w:spacing w:line="240" w:lineRule="auto"/>
        <w:ind w:left="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40"/>
      </w:pPr>
      <w:r>
        <w:separator/>
      </w:r>
    </w:p>
  </w:footnote>
  <w:footnote w:type="continuationSeparator" w:id="1">
    <w:p>
      <w:pPr>
        <w:spacing w:line="240" w:lineRule="auto"/>
        <w:ind w:left="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F073D"/>
    <w:multiLevelType w:val="singleLevel"/>
    <w:tmpl w:val="C80F073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517DA"/>
    <w:rsid w:val="71C5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left="640" w:left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ascii="Times New Roman" w:hAnsi="Times New Roman" w:eastAsia="方正仿宋_GBK" w:cs="Times New Roman"/>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spacing w:line="240" w:lineRule="auto"/>
      <w:textAlignment w:val="auto"/>
    </w:pPr>
    <w:rPr>
      <w:rFonts w:ascii="Calibri" w:hAnsi="Calibri" w:eastAsia="宋体"/>
      <w:kern w:val="2"/>
      <w:sz w:val="21"/>
      <w:szCs w:val="24"/>
    </w:rPr>
  </w:style>
  <w:style w:type="paragraph" w:styleId="3">
    <w:name w:val="index 7"/>
    <w:basedOn w:val="1"/>
    <w:next w:val="1"/>
    <w:qFormat/>
    <w:uiPriority w:val="0"/>
    <w:pPr>
      <w:adjustRightInd/>
      <w:spacing w:line="240" w:lineRule="auto"/>
      <w:ind w:left="2520"/>
      <w:textAlignment w:val="auto"/>
    </w:pPr>
    <w:rPr>
      <w:rFonts w:ascii="Calibri" w:hAnsi="Calibri" w:eastAsia="宋体"/>
      <w:kern w:val="2"/>
      <w:sz w:val="21"/>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2026-03-13T07:47:00Z</dcterms:created>
  <dc:creator>zk</dc:creator>
  <cp:lastModifiedBy>zk</cp:lastModifiedBy>
  <dcterms:modified xsi:type="dcterms:W3CDTF">2026-03-13T07:48:18Z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9B305AEFF77C490E87B7AB9C421E2405_11</vt:lpwstr>
  </property>
  <property fmtid="{D5CDD505-2E9C-101B-9397-08002B2CF9AE}" pid="4" name="KSOTemplateDocerSaveRecord">
    <vt:lpwstr>eyJoZGlkIjoiMjZkZWI5ZGE2MDQ0YjI2ZDliZDVhNjJiMmFiN2MxZGUiLCJ1c2VySWQiOiIyOTc2NTQyNTgifQ==</vt:lpwstr>
  </property>
</Properties>
</file>