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2C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02EACFE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匈牙利（布达佩斯）国际汽配展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概览</w:t>
      </w:r>
      <w:bookmarkEnd w:id="0"/>
    </w:p>
    <w:p w14:paraId="0F1045FD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eastAsia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–202</w:t>
      </w:r>
      <w:r>
        <w:rPr>
          <w:rFonts w:hint="eastAsia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）</w:t>
      </w:r>
    </w:p>
    <w:p w14:paraId="173DFCA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ED0D3C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AUTOMOTIVE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HUNGARY是在布达佩斯HUNGEXPO会展中心举办的年度汽车行业盛会，汇集了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全球大量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制造商、供应商、服务提供商和行业创新者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为不同行业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的代表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们提供建立跨国业务合作的难得机会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作为中东欧最富影响力的汽车领域专业展览，近三届参展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相关信息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如下：</w:t>
      </w:r>
    </w:p>
    <w:p w14:paraId="52995885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94" w:lineRule="exact"/>
        <w:textAlignment w:val="auto"/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参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展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商及参观者</w:t>
      </w:r>
    </w:p>
    <w:p w14:paraId="16D5CBC5"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2023年：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吸引来自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匈牙利、德国、意大利、法国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来自16个国家的450家参展商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布展，来自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匈牙利、波兰、斯洛伐克、捷克共和国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意大利、法国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16个国家的约12500名观众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到访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。</w:t>
      </w:r>
    </w:p>
    <w:p w14:paraId="758A830C"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2024年：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吸引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匈牙利、德国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罗马尼亚、荷兰、比利时、瑞士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来自18个国家的370家参展商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参展，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来自匈牙利、德国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中国、日本、韩国、美国、印度18个国家的约14000名观众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到访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。</w:t>
      </w:r>
    </w:p>
    <w:p w14:paraId="5EC97722"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</w:pPr>
      <w:r>
        <w:rPr>
          <w:rFonts w:hint="eastAsia" w:eastAsia="方正仿宋_GBK" w:cs="sans-serif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2025年：</w:t>
      </w:r>
      <w:r>
        <w:rPr>
          <w:rFonts w:hint="eastAsia" w:eastAsia="方正仿宋_GBK" w:cs="sans-serif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吸引了来自匈牙利、德国、奥地利、意大利、法国、波兰、捷克、中国、日本、韩国、美国等1</w:t>
      </w:r>
      <w:r>
        <w:rPr>
          <w:rFonts w:hint="eastAsia" w:eastAsia="方正仿宋_GBK" w:cs="sans-serif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eastAsia="方正仿宋_GBK" w:cs="sans-serif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个国家的</w:t>
      </w:r>
      <w:r>
        <w:rPr>
          <w:rFonts w:hint="eastAsia" w:eastAsia="方正仿宋_GBK" w:cs="sans-serif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eastAsia="方正仿宋_GBK" w:cs="sans-serif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0家参展商（包括</w:t>
      </w:r>
      <w:r>
        <w:rPr>
          <w:rFonts w:hint="eastAsia" w:eastAsia="方正仿宋_GBK" w:cs="sans-serif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重要的</w:t>
      </w:r>
      <w:r>
        <w:rPr>
          <w:rFonts w:hint="eastAsia" w:eastAsia="方正仿宋_GBK" w:cs="sans-serif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制造、分销和服务类公司），近1</w:t>
      </w:r>
      <w:r>
        <w:rPr>
          <w:rFonts w:hint="eastAsia" w:eastAsia="方正仿宋_GBK" w:cs="sans-serif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eastAsia="方正仿宋_GBK" w:cs="sans-serif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000名专业观众观展。</w:t>
      </w:r>
    </w:p>
    <w:p w14:paraId="0494B480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、参展企业背景</w:t>
      </w:r>
    </w:p>
    <w:p w14:paraId="5CB8D977"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2023年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55%制造商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30%服务提供商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15%分销商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。</w:t>
      </w:r>
    </w:p>
    <w:p w14:paraId="65F1B0E8"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2024年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53%制造商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32%服务提供商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15%分销商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。</w:t>
      </w:r>
    </w:p>
    <w:p w14:paraId="337A7DB3"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年：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45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%制造商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39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%服务提供商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1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en-US" w:bidi="ar-SA"/>
        </w:rPr>
        <w:t>%分销商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-SA"/>
        </w:rPr>
        <w:t>。</w:t>
      </w:r>
    </w:p>
    <w:p w14:paraId="25ACED12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、展会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面积</w:t>
      </w:r>
    </w:p>
    <w:p w14:paraId="3DA6C136"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2023年：展会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包含3个展厅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占地超过2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000平方米。</w:t>
      </w:r>
    </w:p>
    <w:p w14:paraId="18A49C28"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年：展会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包含3个展厅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占地超过2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000平方米。</w:t>
      </w:r>
    </w:p>
    <w:p w14:paraId="63DAC891"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年：展会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包含3个展厅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占地超过2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 w:bidi="ar-SA"/>
        </w:rPr>
        <w:t>000平方米。</w:t>
      </w:r>
    </w:p>
    <w:p w14:paraId="61EC5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640"/>
      </w:pPr>
      <w:r>
        <w:separator/>
      </w:r>
    </w:p>
  </w:endnote>
  <w:endnote w:type="continuationSeparator" w:id="1">
    <w:p>
      <w:pPr>
        <w:spacing w:line="240" w:lineRule="auto"/>
        <w:ind w:left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640"/>
      </w:pPr>
      <w:r>
        <w:separator/>
      </w:r>
    </w:p>
  </w:footnote>
  <w:footnote w:type="continuationSeparator" w:id="1">
    <w:p>
      <w:pPr>
        <w:spacing w:line="240" w:lineRule="auto"/>
        <w:ind w:left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491BB"/>
    <w:multiLevelType w:val="singleLevel"/>
    <w:tmpl w:val="8ED491BB"/>
    <w:lvl w:ilvl="0" w:tentative="0">
      <w:start w:val="1"/>
      <w:numFmt w:val="bullet"/>
      <w:pStyle w:val="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753E9"/>
    <w:rsid w:val="17E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left="64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/>
      <w:spacing w:line="240" w:lineRule="auto"/>
      <w:textAlignment w:val="auto"/>
    </w:pPr>
    <w:rPr>
      <w:rFonts w:ascii="Calibri" w:hAnsi="Calibri" w:eastAsia="宋体"/>
      <w:kern w:val="2"/>
      <w:sz w:val="21"/>
      <w:szCs w:val="24"/>
    </w:rPr>
  </w:style>
  <w:style w:type="paragraph" w:styleId="3">
    <w:name w:val="index 7"/>
    <w:basedOn w:val="1"/>
    <w:next w:val="1"/>
    <w:qFormat/>
    <w:uiPriority w:val="0"/>
    <w:pPr>
      <w:adjustRightInd/>
      <w:spacing w:line="240" w:lineRule="auto"/>
      <w:ind w:left="2520"/>
      <w:textAlignment w:val="auto"/>
    </w:pPr>
    <w:rPr>
      <w:rFonts w:ascii="Calibri" w:hAnsi="Calibri" w:eastAsia="宋体"/>
      <w:kern w:val="2"/>
      <w:sz w:val="21"/>
      <w:szCs w:val="24"/>
    </w:rPr>
  </w:style>
  <w:style w:type="paragraph" w:styleId="5">
    <w:name w:val="List Bullet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2026-03-13T07:45:00Z</dcterms:created>
  <dc:creator>zk</dc:creator>
  <cp:lastModifiedBy>zk</cp:lastModifiedBy>
  <dcterms:modified xsi:type="dcterms:W3CDTF">2026-03-13T07:47:16Z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E525C8BD78464AE4B2868E8D213B8E52_11</vt:lpwstr>
  </property>
  <property fmtid="{D5CDD505-2E9C-101B-9397-08002B2CF9AE}" pid="4" name="KSOTemplateDocerSaveRecord">
    <vt:lpwstr>eyJoZGlkIjoiMjZkZWI5ZGE2MDQ0YjI2ZDliZDVhNjJiMmFiN2MxZGUiLCJ1c2VySWQiOiIyOTc2NTQyNTgifQ==</vt:lpwstr>
  </property>
</Properties>
</file>